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bookmarkEnd w:id="0"/>
      <w:r>
        <w:rPr>
          <w:rFonts w:hint="eastAsia"/>
          <w:sz w:val="32"/>
          <w:szCs w:val="32"/>
        </w:rPr>
        <w:t>泰兴市第四高级中学</w:t>
      </w:r>
    </w:p>
    <w:p>
      <w:pPr>
        <w:jc w:val="center"/>
        <w:rPr>
          <w:rFonts w:hint="eastAsia"/>
          <w:sz w:val="32"/>
          <w:szCs w:val="32"/>
        </w:rPr>
      </w:pPr>
      <w:r>
        <w:rPr>
          <w:rFonts w:hint="eastAsia"/>
          <w:sz w:val="32"/>
          <w:szCs w:val="32"/>
        </w:rPr>
        <w:t>2019年“一师一优课、一课一名师”活动方案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rFonts w:hint="eastAsia"/>
          <w:sz w:val="21"/>
          <w:szCs w:val="21"/>
        </w:rPr>
        <w:t>一、意义：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通过开展“一师一优课、一课一名师”活动，充分调动各学科教师在课堂教学中应用信息技术的积极性和创造性，提升广大教师信息化教学创新能力；促进优质数字教育资源的开发与共享，形成符合我校学科教学特点的生成性资源体系，推动信息技术与数字教育资源在课堂教学中的深度融合和常态化应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1"/>
          <w:szCs w:val="21"/>
          <w:lang w:eastAsia="zh-CN"/>
        </w:rPr>
      </w:pPr>
      <w:r>
        <w:rPr>
          <w:rFonts w:hint="eastAsia"/>
          <w:sz w:val="21"/>
          <w:szCs w:val="21"/>
        </w:rPr>
        <w:t>二、活动内容</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rFonts w:hint="eastAsia"/>
          <w:sz w:val="21"/>
          <w:szCs w:val="21"/>
        </w:rPr>
        <w:t>包括“晒课”和“优课评比”。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1.“晒课”，就是教师提交一堂利用信息技术开展课堂教学的完整教学设计、所用课件及相关资源、课堂实录（可选，拟参加教育部“优课”征集的为必选）和评测练习（可选）等。基本的“晒课”，就是要求老师上传一堂利用信息技术开展课堂教学的完整教学设计，以及附所用课件及相关资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rFonts w:hint="eastAsia"/>
          <w:sz w:val="21"/>
          <w:szCs w:val="21"/>
        </w:rPr>
        <w:t>关于“晒课”的说明：</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（1）对于“晒课”，课堂实录和评测练习是可选内容。鼓励教师上传课堂实录。</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（2）晒课内容须符合现行课程标准，体现信息技术与学科性质和特点的融合，注重展现利用信息技术创新教学方法、有效解决教育教学的重难点问题。教师所提交的内容须为本人教学实践中所产生的内容，</w:t>
      </w:r>
      <w:r>
        <w:rPr>
          <w:rFonts w:hint="eastAsia"/>
          <w:sz w:val="21"/>
          <w:szCs w:val="21"/>
          <w:u w:val="single"/>
          <w:lang w:eastAsia="zh-CN"/>
        </w:rPr>
        <w:t>坚持原创</w:t>
      </w:r>
      <w:r>
        <w:rPr>
          <w:rFonts w:hint="eastAsia"/>
          <w:sz w:val="21"/>
          <w:szCs w:val="21"/>
          <w:lang w:eastAsia="zh-CN"/>
        </w:rPr>
        <w:t>，</w:t>
      </w:r>
      <w:r>
        <w:rPr>
          <w:rFonts w:hint="eastAsia"/>
          <w:sz w:val="21"/>
          <w:szCs w:val="21"/>
        </w:rPr>
        <w:t>不得冒名顶替，杜绝抄袭，引用资料须注明出处和原作者。</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u w:val="single"/>
        </w:rPr>
      </w:pPr>
      <w:r>
        <w:rPr>
          <w:rFonts w:hint="eastAsia"/>
          <w:sz w:val="21"/>
          <w:szCs w:val="21"/>
        </w:rPr>
        <w:t>（3）根据教育部文件要求，为尽快形成系列化优质资源，鼓励教师在无“部优”和“省优”课例的节点下晒课，查找无“省部级优课”节点的方法为：</w:t>
      </w:r>
      <w:r>
        <w:rPr>
          <w:rFonts w:hint="eastAsia"/>
          <w:sz w:val="21"/>
          <w:szCs w:val="21"/>
          <w:u w:val="single"/>
        </w:rPr>
        <w:t>教师登录一师一优课平台后，标注为红色星号的节点为无省部级优课节点。平台上“省优”课例总数超过5堂的节点暂不开放晒课。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2.“优课”评比是指，在（基本）“晒课”的基础上，教师还要上传课堂实录。也就是说教师在提交教学设计、课件及相关资源的基础上，还要上传完整的一节课堂实录。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1"/>
          <w:szCs w:val="21"/>
        </w:rPr>
      </w:pPr>
      <w:r>
        <w:rPr>
          <w:rFonts w:hint="eastAsia"/>
          <w:sz w:val="21"/>
          <w:szCs w:val="21"/>
        </w:rPr>
        <w:t>关于“优课”评比的说明：</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（1）课堂实录是省部级“优课”遴选的重点，要能体现利用信息技术手段开展课堂教学。好的优课要能利用信息技术手段，而非传统讲授。</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（2）课堂实录（指教学过程视频）应展现课堂教学的完整过程（最低不少于30分钟），画面清晰。</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sz w:val="21"/>
          <w:szCs w:val="21"/>
        </w:rPr>
      </w:pPr>
      <w:r>
        <w:rPr>
          <w:rFonts w:hint="eastAsia"/>
          <w:sz w:val="21"/>
          <w:szCs w:val="21"/>
        </w:rPr>
        <w:t>（3）凡在“一师一优课、一课一名师”活动中获部、省级“优课”的等同于获省级比赛一等奖。</w:t>
      </w:r>
      <w:r>
        <w:rPr>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3. 2019年“一师一优课、一课一名师”活动于3月16日启动，教师可登录国家教育资源公共服务平台http://1s1k.eduyun.cn/或江苏省智慧教育云计算服务平台http://www.jse.edu.cn/参与活动。高中“晒课”上传时间：2019年6月1日--8月31日（原通知时间，考虑假期因素，不作参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1"/>
          <w:szCs w:val="21"/>
          <w:lang w:eastAsia="zh-CN"/>
        </w:rPr>
      </w:pPr>
      <w:r>
        <w:rPr>
          <w:rFonts w:hint="eastAsia"/>
          <w:sz w:val="21"/>
          <w:szCs w:val="21"/>
        </w:rPr>
        <w:t>三、活动组织</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1.组织机构：</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lang w:eastAsia="zh-CN"/>
        </w:rPr>
        <w:t>领导</w:t>
      </w:r>
      <w:r>
        <w:rPr>
          <w:rFonts w:hint="eastAsia"/>
          <w:sz w:val="21"/>
          <w:szCs w:val="21"/>
        </w:rPr>
        <w:t>组长：冯仁勇</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统筹组长：孙文平</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 xml:space="preserve">执行组长：吕智深 尹春荣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技术协助：吴秀峰 项银圣 丁小松 丁永琦 吴 栋</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2.日程安排：</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ascii="宋体" w:hAnsi="宋体"/>
          <w:sz w:val="21"/>
          <w:szCs w:val="21"/>
        </w:rPr>
        <w:t>（1）</w:t>
      </w:r>
      <w:r>
        <w:rPr>
          <w:rFonts w:hint="eastAsia"/>
          <w:sz w:val="21"/>
          <w:szCs w:val="21"/>
        </w:rPr>
        <w:t>鉴于暑假期间，学生已放假不在学校，录课过程必须在放假前完成。</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ascii="宋体" w:hAnsi="宋体"/>
          <w:sz w:val="21"/>
          <w:szCs w:val="21"/>
        </w:rPr>
        <w:t>（2）</w:t>
      </w:r>
      <w:r>
        <w:rPr>
          <w:rFonts w:hint="eastAsia"/>
          <w:sz w:val="21"/>
          <w:szCs w:val="21"/>
        </w:rPr>
        <w:t>需要录课（录课、编辑、上传）的老师，要提前到教科室登记，登记报名时间截止到5月19日。教科室形成录课安排表。</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ascii="宋体" w:hAnsi="宋体"/>
          <w:sz w:val="21"/>
          <w:szCs w:val="21"/>
        </w:rPr>
        <w:t>（3）</w:t>
      </w:r>
      <w:r>
        <w:rPr>
          <w:rFonts w:hint="eastAsia"/>
          <w:sz w:val="21"/>
          <w:szCs w:val="21"/>
        </w:rPr>
        <w:t>需要录课的老师，请于5月27日前做好相关准备（教案设计、课件制作、资源链接、前期磨课），5月28日起，对照录课安排表进行录课。</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ascii="宋体" w:hAnsi="宋体"/>
          <w:sz w:val="21"/>
          <w:szCs w:val="21"/>
        </w:rPr>
        <w:t>（4）</w:t>
      </w:r>
      <w:r>
        <w:rPr>
          <w:rFonts w:hint="eastAsia"/>
          <w:sz w:val="21"/>
          <w:szCs w:val="21"/>
        </w:rPr>
        <w:t>考虑到不影响期末考试，录课过程预期截止到6月20日。信息技术老师对初审通过的录课进行后期处理。</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ascii="宋体" w:hAnsi="宋体"/>
          <w:sz w:val="21"/>
          <w:szCs w:val="21"/>
        </w:rPr>
        <w:t>（5）</w:t>
      </w:r>
      <w:r>
        <w:rPr>
          <w:rFonts w:hint="eastAsia"/>
          <w:sz w:val="21"/>
          <w:szCs w:val="21"/>
        </w:rPr>
        <w:t>以上日程安排如有变化，另行通知。</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3.其他说明：</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（1）所有老师都要参加基本“晒课”，上传教学设计（文案、课件、资源），强调原创。教科室阶段性统计。</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（2）鼓励老师们积极参加“优课”评比，尤其教师发展共同体成员。对参加的情况列入对个人教科研项目考核和共同体考核中。</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sz w:val="21"/>
          <w:szCs w:val="21"/>
        </w:rPr>
      </w:pPr>
      <w:r>
        <w:rPr>
          <w:rFonts w:hint="eastAsia"/>
          <w:sz w:val="21"/>
          <w:szCs w:val="21"/>
        </w:rPr>
        <w:t>（3）</w:t>
      </w:r>
      <w:r>
        <w:rPr>
          <w:rFonts w:hint="eastAsia"/>
          <w:sz w:val="21"/>
          <w:szCs w:val="21"/>
          <w:u w:val="single"/>
        </w:rPr>
        <w:t>建议在“资源链接”时，建议积极应用“泰微课”</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right="320"/>
        <w:jc w:val="right"/>
        <w:textAlignment w:val="auto"/>
        <w:rPr>
          <w:rFonts w:hint="eastAsia"/>
          <w:sz w:val="21"/>
          <w:szCs w:val="21"/>
        </w:rPr>
      </w:pPr>
      <w:r>
        <w:rPr>
          <w:rFonts w:hint="eastAsia"/>
          <w:sz w:val="21"/>
          <w:szCs w:val="21"/>
        </w:rPr>
        <w:t>泰兴市第四高级中学</w:t>
      </w:r>
    </w:p>
    <w:p>
      <w:pPr>
        <w:keepNext w:val="0"/>
        <w:keepLines w:val="0"/>
        <w:pageBreakBefore w:val="0"/>
        <w:widowControl w:val="0"/>
        <w:kinsoku/>
        <w:wordWrap/>
        <w:overflowPunct/>
        <w:topLinePunct w:val="0"/>
        <w:autoSpaceDE/>
        <w:autoSpaceDN/>
        <w:bidi w:val="0"/>
        <w:adjustRightInd/>
        <w:snapToGrid/>
        <w:spacing w:line="400" w:lineRule="exact"/>
        <w:ind w:right="640"/>
        <w:jc w:val="center"/>
        <w:textAlignment w:val="auto"/>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校长室</w:t>
      </w:r>
    </w:p>
    <w:p>
      <w:pPr>
        <w:keepNext w:val="0"/>
        <w:keepLines w:val="0"/>
        <w:pageBreakBefore w:val="0"/>
        <w:widowControl w:val="0"/>
        <w:kinsoku/>
        <w:wordWrap/>
        <w:overflowPunct/>
        <w:topLinePunct w:val="0"/>
        <w:autoSpaceDE/>
        <w:autoSpaceDN/>
        <w:bidi w:val="0"/>
        <w:adjustRightInd/>
        <w:snapToGrid/>
        <w:spacing w:line="400" w:lineRule="exact"/>
        <w:ind w:right="640" w:firstLine="6510" w:firstLineChars="3100"/>
        <w:textAlignment w:val="auto"/>
        <w:rPr>
          <w:rFonts w:hint="eastAsia"/>
          <w:sz w:val="21"/>
          <w:szCs w:val="21"/>
        </w:rPr>
      </w:pPr>
      <w:r>
        <w:rPr>
          <w:rFonts w:hint="eastAsia"/>
          <w:sz w:val="21"/>
          <w:szCs w:val="21"/>
        </w:rPr>
        <w:t>教科室</w:t>
      </w:r>
    </w:p>
    <w:p>
      <w:pPr>
        <w:keepNext w:val="0"/>
        <w:keepLines w:val="0"/>
        <w:pageBreakBefore w:val="0"/>
        <w:widowControl w:val="0"/>
        <w:kinsoku/>
        <w:wordWrap/>
        <w:overflowPunct/>
        <w:topLinePunct w:val="0"/>
        <w:autoSpaceDE/>
        <w:autoSpaceDN/>
        <w:bidi w:val="0"/>
        <w:adjustRightInd/>
        <w:snapToGrid/>
        <w:spacing w:line="400" w:lineRule="exact"/>
        <w:ind w:right="640" w:firstLine="6090" w:firstLineChars="2900"/>
        <w:textAlignment w:val="auto"/>
        <w:rPr>
          <w:rFonts w:hint="eastAsia"/>
          <w:sz w:val="21"/>
          <w:szCs w:val="21"/>
        </w:rPr>
      </w:pPr>
      <w:r>
        <w:rPr>
          <w:rFonts w:hint="eastAsia"/>
          <w:sz w:val="21"/>
          <w:szCs w:val="21"/>
        </w:rPr>
        <w:t>2019年5月15日</w:t>
      </w:r>
    </w:p>
    <w:p>
      <w:pPr>
        <w:rPr>
          <w:rFonts w:hint="eastAsia"/>
          <w:sz w:val="32"/>
          <w:szCs w:val="32"/>
        </w:rPr>
      </w:pPr>
    </w:p>
    <w:p>
      <w:pPr>
        <w:rPr>
          <w:rFonts w:hint="eastAsia"/>
          <w:sz w:val="32"/>
          <w:szCs w:val="32"/>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449D"/>
    <w:rsid w:val="0018257B"/>
    <w:rsid w:val="00233962"/>
    <w:rsid w:val="003C449D"/>
    <w:rsid w:val="003D5FF5"/>
    <w:rsid w:val="00400C15"/>
    <w:rsid w:val="00585052"/>
    <w:rsid w:val="00976903"/>
    <w:rsid w:val="00BC3230"/>
    <w:rsid w:val="4466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0"/>
    <w:pPr>
      <w:ind w:firstLine="420" w:firstLineChars="200"/>
    </w:pPr>
    <w:rPr>
      <w:rFonts w:ascii="Calibri" w:hAnsi="Calibri"/>
      <w:szCs w:val="22"/>
    </w:rPr>
  </w:style>
  <w:style w:type="character" w:customStyle="1" w:styleId="6">
    <w:name w:val="批注框文本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1322</Characters>
  <Lines>11</Lines>
  <Paragraphs>3</Paragraphs>
  <TotalTime>59</TotalTime>
  <ScaleCrop>false</ScaleCrop>
  <LinksUpToDate>false</LinksUpToDate>
  <CharactersWithSpaces>1550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2019-05-13T07:57:00Z</dcterms:created>
  <dc:creator>Administrator</dc:creator>
  <cp:lastModifiedBy>Administrator</cp:lastModifiedBy>
  <cp:lastPrinted>2019-05-13T08:40:00Z</cp:lastPrinted>
  <dcterms:modified xsi:type="dcterms:W3CDTF">2019-05-15T00:07:28Z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